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B" w:rsidRDefault="00E2232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707389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001EEB" w:rsidRDefault="00001EE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001EEB" w:rsidRDefault="00326F98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6</w:t>
      </w:r>
      <w:r w:rsidR="00E22322">
        <w:rPr>
          <w:rStyle w:val="None"/>
          <w:rFonts w:ascii="Arial" w:hAnsi="Arial"/>
          <w:sz w:val="28"/>
          <w:szCs w:val="28"/>
        </w:rPr>
        <w:t xml:space="preserve"> Mayıs 2021</w:t>
      </w:r>
    </w:p>
    <w:p w:rsidR="00001EEB" w:rsidRDefault="00001EEB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001EEB" w:rsidRDefault="00E22322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Artema</w:t>
      </w:r>
      <w:proofErr w:type="spellEnd"/>
      <w:r>
        <w:rPr>
          <w:rFonts w:ascii="Arial" w:hAnsi="Arial"/>
          <w:sz w:val="48"/>
          <w:szCs w:val="48"/>
        </w:rPr>
        <w:t>, yeni nesil temassız armatürleriyle su tasarrufunu yaygınlaştırıyor.</w:t>
      </w:r>
    </w:p>
    <w:p w:rsidR="00001EEB" w:rsidRDefault="00001EE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326F98" w:rsidRDefault="00CB72C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5E25157" wp14:editId="6A87E9B1">
            <wp:extent cx="2768485" cy="2562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3241" cy="25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26F98">
        <w:rPr>
          <w:noProof/>
        </w:rPr>
        <w:t xml:space="preserve">  </w:t>
      </w:r>
      <w:r w:rsidR="00D87D9C">
        <w:rPr>
          <w:noProof/>
        </w:rPr>
        <w:t xml:space="preserve">   </w:t>
      </w:r>
      <w:r w:rsidR="00326F98"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pt;height:203.5pt">
            <v:imagedata r:id="rId8" o:title="wing"/>
          </v:shape>
        </w:pict>
      </w:r>
      <w:r w:rsidR="00326F98">
        <w:rPr>
          <w:noProof/>
        </w:rPr>
        <w:br/>
      </w:r>
    </w:p>
    <w:p w:rsidR="00001EEB" w:rsidRPr="00326F98" w:rsidRDefault="00E223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Armatürler için dakikada 12 litre olan TSE standardını, kumanda koluyla çalışan ürünlerde 5 litreye düşüren </w:t>
      </w:r>
      <w:proofErr w:type="spellStart"/>
      <w:r>
        <w:rPr>
          <w:sz w:val="28"/>
          <w:szCs w:val="28"/>
        </w:rPr>
        <w:t>Artema</w:t>
      </w:r>
      <w:proofErr w:type="spellEnd"/>
      <w:r>
        <w:rPr>
          <w:sz w:val="28"/>
          <w:szCs w:val="28"/>
        </w:rPr>
        <w:t xml:space="preserve">, yeni nesil temassız armatürleriyle su tasarrufunu yaygınlaştırıyor. </w:t>
      </w:r>
      <w:proofErr w:type="spellStart"/>
      <w:r>
        <w:rPr>
          <w:sz w:val="28"/>
          <w:szCs w:val="28"/>
        </w:rPr>
        <w:t>Artema’nın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</w:t>
      </w:r>
      <w:proofErr w:type="spellEnd"/>
      <w:r>
        <w:rPr>
          <w:sz w:val="28"/>
          <w:szCs w:val="28"/>
          <w:lang w:val="sv-SE"/>
        </w:rPr>
        <w:t>ö</w:t>
      </w:r>
      <w:r>
        <w:rPr>
          <w:sz w:val="28"/>
          <w:szCs w:val="28"/>
        </w:rPr>
        <w:t xml:space="preserve">r teknolojisi sayesinde </w:t>
      </w:r>
      <w:r>
        <w:rPr>
          <w:sz w:val="28"/>
          <w:szCs w:val="28"/>
          <w:lang w:val="es-ES_tradnl"/>
        </w:rPr>
        <w:t xml:space="preserve">el </w:t>
      </w:r>
      <w:r w:rsidRPr="00326F98">
        <w:rPr>
          <w:sz w:val="28"/>
          <w:szCs w:val="28"/>
        </w:rPr>
        <w:t>de</w:t>
      </w:r>
      <w:r>
        <w:rPr>
          <w:sz w:val="28"/>
          <w:szCs w:val="28"/>
        </w:rPr>
        <w:t xml:space="preserve">ğmeden kullanılan armatürleri ise standartlara göre neredeyse %90 tasarruf sağlayarak dakikada yalnızca 1,3 litre su harcıyor. Temassız armatürler, </w:t>
      </w:r>
      <w:r w:rsidRPr="00326F98">
        <w:rPr>
          <w:sz w:val="28"/>
          <w:szCs w:val="28"/>
        </w:rPr>
        <w:t>30 Haziran</w:t>
      </w:r>
      <w:r>
        <w:rPr>
          <w:sz w:val="28"/>
          <w:szCs w:val="28"/>
        </w:rPr>
        <w:t xml:space="preserve">’a kadar devam eden </w:t>
      </w:r>
      <w:proofErr w:type="spellStart"/>
      <w:r>
        <w:rPr>
          <w:sz w:val="28"/>
          <w:szCs w:val="28"/>
        </w:rPr>
        <w:t>Artema</w:t>
      </w:r>
      <w:proofErr w:type="spellEnd"/>
      <w:r>
        <w:rPr>
          <w:sz w:val="28"/>
          <w:szCs w:val="28"/>
        </w:rPr>
        <w:t xml:space="preserve"> Bahar Kampanyası kapsamında %35’e varan indirimle alınarak, </w:t>
      </w:r>
      <w:r w:rsidRPr="00326F98">
        <w:rPr>
          <w:sz w:val="28"/>
          <w:szCs w:val="28"/>
        </w:rPr>
        <w:t>hem</w:t>
      </w:r>
      <w:r>
        <w:rPr>
          <w:sz w:val="28"/>
          <w:szCs w:val="28"/>
        </w:rPr>
        <w:t xml:space="preserve"> doğa hem de bütçe dostu bir çözüm sunuyor.</w:t>
      </w:r>
    </w:p>
    <w:sectPr w:rsidR="00001EEB" w:rsidRPr="00326F9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0" w:rsidRDefault="001C26B0">
      <w:r>
        <w:separator/>
      </w:r>
    </w:p>
  </w:endnote>
  <w:endnote w:type="continuationSeparator" w:id="0">
    <w:p w:rsidR="001C26B0" w:rsidRDefault="001C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EB" w:rsidRDefault="00E2232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001EEB" w:rsidRDefault="00E2232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001EEB" w:rsidRDefault="001C26B0">
    <w:pPr>
      <w:pStyle w:val="Body"/>
      <w:tabs>
        <w:tab w:val="center" w:pos="4536"/>
        <w:tab w:val="right" w:pos="9044"/>
      </w:tabs>
      <w:jc w:val="center"/>
    </w:pPr>
    <w:hyperlink r:id="rId1" w:history="1">
      <w:r w:rsidR="00E22322">
        <w:rPr>
          <w:rStyle w:val="Hyperlink0"/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E2232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E22322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E2232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0" w:rsidRDefault="001C26B0">
      <w:r>
        <w:separator/>
      </w:r>
    </w:p>
  </w:footnote>
  <w:footnote w:type="continuationSeparator" w:id="0">
    <w:p w:rsidR="001C26B0" w:rsidRDefault="001C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EB" w:rsidRDefault="00001E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EB"/>
    <w:rsid w:val="00001EEB"/>
    <w:rsid w:val="001C26B0"/>
    <w:rsid w:val="00326F98"/>
    <w:rsid w:val="00CB72CD"/>
    <w:rsid w:val="00D87D9C"/>
    <w:rsid w:val="00DE6296"/>
    <w:rsid w:val="00E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79A3C-4600-4E5D-BEFC-E702C796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7</cp:revision>
  <dcterms:created xsi:type="dcterms:W3CDTF">2021-05-06T08:34:00Z</dcterms:created>
  <dcterms:modified xsi:type="dcterms:W3CDTF">2021-05-06T09:22:00Z</dcterms:modified>
</cp:coreProperties>
</file>